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66B" w:rsidRDefault="0081566B" w:rsidP="00C71D90">
      <w:pPr>
        <w:spacing w:before="100" w:beforeAutospacing="1" w:after="100" w:afterAutospacing="1" w:line="480" w:lineRule="auto"/>
        <w:jc w:val="center"/>
        <w:rPr>
          <w:rFonts w:ascii="Times New Roman" w:hAnsi="Times New Roman" w:cs="Times New Roman"/>
          <w:sz w:val="24"/>
          <w:szCs w:val="24"/>
        </w:rPr>
      </w:pP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81566B">
        <w:rPr>
          <w:rFonts w:ascii="Times New Roman" w:hAnsi="Times New Roman" w:cs="Times New Roman"/>
          <w:color w:val="1B1B1B"/>
          <w:sz w:val="24"/>
          <w:szCs w:val="24"/>
          <w:shd w:val="clear" w:color="auto" w:fill="FFFFFF"/>
        </w:rPr>
        <w:t>TURNAROUND COURIERS INC. V. C.U.P.W</w:t>
      </w: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Institution Affiliation </w:t>
      </w:r>
    </w:p>
    <w:p w:rsidR="0081566B" w:rsidRPr="0081566B" w:rsidRDefault="0081566B" w:rsidP="00C71D90">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81566B" w:rsidRDefault="0081566B" w:rsidP="00C71D90">
      <w:pPr>
        <w:spacing w:before="100" w:beforeAutospacing="1" w:after="100" w:afterAutospacing="1" w:line="480" w:lineRule="auto"/>
        <w:jc w:val="center"/>
        <w:rPr>
          <w:rFonts w:ascii="Times New Roman" w:hAnsi="Times New Roman" w:cs="Times New Roman"/>
          <w:sz w:val="24"/>
          <w:szCs w:val="24"/>
        </w:rPr>
      </w:pPr>
    </w:p>
    <w:p w:rsidR="0081566B" w:rsidRDefault="0081566B" w:rsidP="00C71D90">
      <w:pPr>
        <w:spacing w:before="100" w:beforeAutospacing="1" w:after="100" w:afterAutospacing="1" w:line="480" w:lineRule="auto"/>
        <w:jc w:val="center"/>
        <w:rPr>
          <w:rFonts w:ascii="Times New Roman" w:hAnsi="Times New Roman" w:cs="Times New Roman"/>
          <w:sz w:val="24"/>
          <w:szCs w:val="24"/>
        </w:rPr>
      </w:pPr>
    </w:p>
    <w:p w:rsidR="0081566B" w:rsidRDefault="0081566B" w:rsidP="00C71D90">
      <w:pPr>
        <w:spacing w:before="100" w:beforeAutospacing="1" w:after="100" w:afterAutospacing="1" w:line="480" w:lineRule="auto"/>
        <w:jc w:val="center"/>
        <w:rPr>
          <w:rFonts w:ascii="Times New Roman" w:hAnsi="Times New Roman" w:cs="Times New Roman"/>
          <w:sz w:val="24"/>
          <w:szCs w:val="24"/>
        </w:rPr>
      </w:pPr>
    </w:p>
    <w:p w:rsidR="008B78E9" w:rsidRPr="00C71D90" w:rsidRDefault="008B78E9" w:rsidP="00C71D90">
      <w:pPr>
        <w:spacing w:before="100" w:beforeAutospacing="1" w:after="100" w:afterAutospacing="1" w:line="480" w:lineRule="auto"/>
        <w:jc w:val="center"/>
        <w:rPr>
          <w:rFonts w:ascii="Times New Roman" w:hAnsi="Times New Roman" w:cs="Times New Roman"/>
          <w:sz w:val="24"/>
          <w:szCs w:val="24"/>
        </w:rPr>
      </w:pPr>
      <w:r w:rsidRPr="00C71D90">
        <w:rPr>
          <w:rFonts w:ascii="Times New Roman" w:hAnsi="Times New Roman" w:cs="Times New Roman"/>
          <w:sz w:val="24"/>
          <w:szCs w:val="24"/>
        </w:rPr>
        <w:lastRenderedPageBreak/>
        <w:t>Summary</w:t>
      </w:r>
    </w:p>
    <w:p w:rsidR="008B78E9" w:rsidRPr="00C71D90" w:rsidRDefault="00755586" w:rsidP="00C71D90">
      <w:pPr>
        <w:spacing w:before="100" w:beforeAutospacing="1" w:after="100" w:afterAutospacing="1" w:line="480" w:lineRule="auto"/>
        <w:ind w:firstLine="720"/>
        <w:rPr>
          <w:rFonts w:ascii="Times New Roman" w:hAnsi="Times New Roman" w:cs="Times New Roman"/>
          <w:sz w:val="24"/>
          <w:szCs w:val="24"/>
        </w:rPr>
      </w:pPr>
      <w:r w:rsidRPr="00C71D90">
        <w:rPr>
          <w:rFonts w:ascii="Times New Roman" w:hAnsi="Times New Roman" w:cs="Times New Roman"/>
          <w:sz w:val="24"/>
          <w:szCs w:val="24"/>
        </w:rPr>
        <w:t xml:space="preserve">The case is about an application made for a judicial review of the Canada Industrial Relations Board on a decision it made to certify </w:t>
      </w:r>
      <w:r w:rsidRPr="00C71D90">
        <w:rPr>
          <w:rFonts w:ascii="Times New Roman" w:hAnsi="Times New Roman" w:cs="Times New Roman"/>
          <w:sz w:val="24"/>
          <w:szCs w:val="24"/>
        </w:rPr>
        <w:t>Canadian Union of postal W</w:t>
      </w:r>
      <w:r w:rsidRPr="00C71D90">
        <w:rPr>
          <w:rFonts w:ascii="Times New Roman" w:hAnsi="Times New Roman" w:cs="Times New Roman"/>
          <w:sz w:val="24"/>
          <w:szCs w:val="24"/>
        </w:rPr>
        <w:t xml:space="preserve">orkers as the prime bargaining agent for TurnAround Inc.’s employees. </w:t>
      </w:r>
      <w:r w:rsidR="00D16FF5" w:rsidRPr="00C71D90">
        <w:rPr>
          <w:rFonts w:ascii="Times New Roman" w:hAnsi="Times New Roman" w:cs="Times New Roman"/>
          <w:sz w:val="24"/>
          <w:szCs w:val="24"/>
        </w:rPr>
        <w:t>On June 8</w:t>
      </w:r>
      <w:r w:rsidR="00D16FF5" w:rsidRPr="00C71D90">
        <w:rPr>
          <w:rFonts w:ascii="Times New Roman" w:hAnsi="Times New Roman" w:cs="Times New Roman"/>
          <w:sz w:val="24"/>
          <w:szCs w:val="24"/>
          <w:vertAlign w:val="superscript"/>
        </w:rPr>
        <w:t>th</w:t>
      </w:r>
      <w:r w:rsidR="00D16FF5" w:rsidRPr="00C71D90">
        <w:rPr>
          <w:rFonts w:ascii="Times New Roman" w:hAnsi="Times New Roman" w:cs="Times New Roman"/>
          <w:sz w:val="24"/>
          <w:szCs w:val="24"/>
        </w:rPr>
        <w:t xml:space="preserve"> the year 2010, the Canadian Union of postal Workers (CUPW) or the Union was given the mandate of a bargaining agent for some section of employees that worked for TurnAround Couriers Inc., the employer in Toronto City, Ontario. This certification was allowed by the Canada Industrial Relations Board</w:t>
      </w:r>
      <w:r w:rsidR="002105AB" w:rsidRPr="00C71D90">
        <w:rPr>
          <w:rFonts w:ascii="Times New Roman" w:hAnsi="Times New Roman" w:cs="Times New Roman"/>
          <w:sz w:val="24"/>
          <w:szCs w:val="24"/>
        </w:rPr>
        <w:t xml:space="preserve"> (CIRB) composed of Ms. Elizabeth MacPherson as the chairperson, Mrs. Norman Rivard, and Andre Lecavalier as members. The CUPW’s application was granted by CIRB on the basis under section 91 (5) of the constitution</w:t>
      </w:r>
      <w:r w:rsidR="00BA2563" w:rsidRPr="00C71D90">
        <w:rPr>
          <w:rFonts w:ascii="Times New Roman" w:hAnsi="Times New Roman" w:cs="Times New Roman"/>
          <w:sz w:val="24"/>
          <w:szCs w:val="24"/>
        </w:rPr>
        <w:t>’s first Act</w:t>
      </w:r>
      <w:r w:rsidR="002105AB" w:rsidRPr="00C71D90">
        <w:rPr>
          <w:rFonts w:ascii="Times New Roman" w:hAnsi="Times New Roman" w:cs="Times New Roman"/>
          <w:sz w:val="24"/>
          <w:szCs w:val="24"/>
        </w:rPr>
        <w:t xml:space="preserve"> that defined provisions of a postal service. </w:t>
      </w:r>
      <w:r w:rsidR="00BA2563" w:rsidRPr="00C71D90">
        <w:rPr>
          <w:rFonts w:ascii="Times New Roman" w:hAnsi="Times New Roman" w:cs="Times New Roman"/>
          <w:sz w:val="24"/>
          <w:szCs w:val="24"/>
        </w:rPr>
        <w:t>Rejecting the employer’s contention arguing that the firm had no jurisdiction of “the Code” or the 2</w:t>
      </w:r>
      <w:r w:rsidR="00BA2563" w:rsidRPr="00C71D90">
        <w:rPr>
          <w:rFonts w:ascii="Times New Roman" w:hAnsi="Times New Roman" w:cs="Times New Roman"/>
          <w:sz w:val="24"/>
          <w:szCs w:val="24"/>
          <w:vertAlign w:val="superscript"/>
        </w:rPr>
        <w:t>nd</w:t>
      </w:r>
      <w:r w:rsidR="00BA2563" w:rsidRPr="00C71D90">
        <w:rPr>
          <w:rFonts w:ascii="Times New Roman" w:hAnsi="Times New Roman" w:cs="Times New Roman"/>
          <w:sz w:val="24"/>
          <w:szCs w:val="24"/>
        </w:rPr>
        <w:t xml:space="preserve"> Canada Labor Code, the company’s president, Mr. Richard Derham, stood firm to challenge the Board’s stand since TurnAround’s courier business was solely based in the province of Ontario. </w:t>
      </w:r>
    </w:p>
    <w:p w:rsidR="00DC351B" w:rsidRPr="00C71D90" w:rsidRDefault="00DC351B" w:rsidP="00C71D90">
      <w:pPr>
        <w:spacing w:before="100" w:beforeAutospacing="1" w:after="100" w:afterAutospacing="1" w:line="480" w:lineRule="auto"/>
        <w:ind w:firstLine="720"/>
        <w:rPr>
          <w:rFonts w:ascii="Times New Roman" w:hAnsi="Times New Roman" w:cs="Times New Roman"/>
          <w:sz w:val="24"/>
          <w:szCs w:val="24"/>
        </w:rPr>
      </w:pPr>
      <w:r w:rsidRPr="00C71D90">
        <w:rPr>
          <w:rFonts w:ascii="Times New Roman" w:hAnsi="Times New Roman" w:cs="Times New Roman"/>
          <w:sz w:val="24"/>
          <w:szCs w:val="24"/>
        </w:rPr>
        <w:t xml:space="preserve">The CUPW refuted TurnAround Inc.’s application </w:t>
      </w:r>
      <w:r w:rsidR="00A87375" w:rsidRPr="00C71D90">
        <w:rPr>
          <w:rFonts w:ascii="Times New Roman" w:hAnsi="Times New Roman" w:cs="Times New Roman"/>
          <w:sz w:val="24"/>
          <w:szCs w:val="24"/>
        </w:rPr>
        <w:t>and</w:t>
      </w:r>
      <w:r w:rsidRPr="00C71D90">
        <w:rPr>
          <w:rFonts w:ascii="Times New Roman" w:hAnsi="Times New Roman" w:cs="Times New Roman"/>
          <w:sz w:val="24"/>
          <w:szCs w:val="24"/>
        </w:rPr>
        <w:t xml:space="preserve"> revisit</w:t>
      </w:r>
      <w:r w:rsidR="00A87375" w:rsidRPr="00C71D90">
        <w:rPr>
          <w:rFonts w:ascii="Times New Roman" w:hAnsi="Times New Roman" w:cs="Times New Roman"/>
          <w:sz w:val="24"/>
          <w:szCs w:val="24"/>
        </w:rPr>
        <w:t>ed</w:t>
      </w:r>
      <w:r w:rsidRPr="00C71D90">
        <w:rPr>
          <w:rFonts w:ascii="Times New Roman" w:hAnsi="Times New Roman" w:cs="Times New Roman"/>
          <w:sz w:val="24"/>
          <w:szCs w:val="24"/>
        </w:rPr>
        <w:t xml:space="preserve"> the issued order arguing that it surpassed the 21 day time limit that is set for the case of reconsideration applications – </w:t>
      </w:r>
      <w:r w:rsidR="00A87375" w:rsidRPr="00C71D90">
        <w:rPr>
          <w:rFonts w:ascii="Times New Roman" w:hAnsi="Times New Roman" w:cs="Times New Roman"/>
          <w:sz w:val="24"/>
          <w:szCs w:val="24"/>
        </w:rPr>
        <w:t>the 2001 Canada Industrial Regulations Board R</w:t>
      </w:r>
      <w:r w:rsidRPr="00C71D90">
        <w:rPr>
          <w:rFonts w:ascii="Times New Roman" w:hAnsi="Times New Roman" w:cs="Times New Roman"/>
          <w:sz w:val="24"/>
          <w:szCs w:val="24"/>
        </w:rPr>
        <w:t xml:space="preserve">egulations </w:t>
      </w:r>
      <w:r w:rsidR="00A87375" w:rsidRPr="00C71D90">
        <w:rPr>
          <w:rFonts w:ascii="Times New Roman" w:hAnsi="Times New Roman" w:cs="Times New Roman"/>
          <w:sz w:val="24"/>
          <w:szCs w:val="24"/>
        </w:rPr>
        <w:t xml:space="preserve">under </w:t>
      </w:r>
      <w:r w:rsidRPr="00C71D90">
        <w:rPr>
          <w:rFonts w:ascii="Times New Roman" w:hAnsi="Times New Roman" w:cs="Times New Roman"/>
          <w:sz w:val="24"/>
          <w:szCs w:val="24"/>
        </w:rPr>
        <w:t xml:space="preserve">section </w:t>
      </w:r>
      <w:r w:rsidR="00A87375" w:rsidRPr="00C71D90">
        <w:rPr>
          <w:rFonts w:ascii="Times New Roman" w:hAnsi="Times New Roman" w:cs="Times New Roman"/>
          <w:sz w:val="24"/>
          <w:szCs w:val="24"/>
        </w:rPr>
        <w:t xml:space="preserve">45 (2). This Union’s objection was based on many factors, the sole one being the lateness of presentation above. </w:t>
      </w:r>
    </w:p>
    <w:p w:rsidR="00A87375" w:rsidRPr="00C71D90" w:rsidRDefault="00A87375" w:rsidP="00C71D90">
      <w:pPr>
        <w:spacing w:before="100" w:beforeAutospacing="1" w:after="100" w:afterAutospacing="1" w:line="480" w:lineRule="auto"/>
        <w:ind w:firstLine="720"/>
        <w:rPr>
          <w:rFonts w:ascii="Times New Roman" w:hAnsi="Times New Roman" w:cs="Times New Roman"/>
          <w:sz w:val="24"/>
          <w:szCs w:val="24"/>
        </w:rPr>
      </w:pPr>
      <w:r w:rsidRPr="00C71D90">
        <w:rPr>
          <w:rFonts w:ascii="Times New Roman" w:hAnsi="Times New Roman" w:cs="Times New Roman"/>
          <w:sz w:val="24"/>
          <w:szCs w:val="24"/>
        </w:rPr>
        <w:t xml:space="preserve">This case ended up after CIRB overruled that TurnAround Inc. was within provincial jurisdiction. The </w:t>
      </w:r>
      <w:r w:rsidR="006E1AE0" w:rsidRPr="00C71D90">
        <w:rPr>
          <w:rFonts w:ascii="Times New Roman" w:hAnsi="Times New Roman" w:cs="Times New Roman"/>
          <w:sz w:val="24"/>
          <w:szCs w:val="24"/>
        </w:rPr>
        <w:t xml:space="preserve">case was decided on the basis of public policy. There were no standards of ruling since the constitution had not provided for that. As a result, facts were used to establish legality. </w:t>
      </w:r>
    </w:p>
    <w:p w:rsidR="00FF2512" w:rsidRPr="00C71D90" w:rsidRDefault="00FF2512" w:rsidP="00C71D90">
      <w:pPr>
        <w:spacing w:before="100" w:beforeAutospacing="1" w:after="100" w:afterAutospacing="1" w:line="480" w:lineRule="auto"/>
        <w:ind w:firstLine="720"/>
        <w:rPr>
          <w:rFonts w:ascii="Times New Roman" w:hAnsi="Times New Roman" w:cs="Times New Roman"/>
          <w:sz w:val="24"/>
          <w:szCs w:val="24"/>
        </w:rPr>
      </w:pPr>
      <w:r w:rsidRPr="00C71D90">
        <w:rPr>
          <w:rFonts w:ascii="Times New Roman" w:hAnsi="Times New Roman" w:cs="Times New Roman"/>
          <w:sz w:val="24"/>
          <w:szCs w:val="24"/>
        </w:rPr>
        <w:lastRenderedPageBreak/>
        <w:t xml:space="preserve">The Federal CA, on the other hand, took the case differently from CIRB. Informed by the test spelled clearly in NIL/TU,O Child and Family Services Society, the Federal CA considered TurnAround Inc.’s constrained scope of service. According to Justice Evans, </w:t>
      </w:r>
      <w:r w:rsidRPr="00C71D90">
        <w:rPr>
          <w:rFonts w:ascii="Times New Roman" w:hAnsi="Times New Roman" w:cs="Times New Roman"/>
          <w:i/>
          <w:sz w:val="24"/>
          <w:szCs w:val="24"/>
        </w:rPr>
        <w:t>“</w:t>
      </w:r>
      <w:r w:rsidRPr="00C71D90">
        <w:rPr>
          <w:rStyle w:val="Emphasis"/>
          <w:rFonts w:ascii="Times New Roman" w:hAnsi="Times New Roman" w:cs="Times New Roman"/>
          <w:i w:val="0"/>
          <w:sz w:val="24"/>
          <w:szCs w:val="24"/>
          <w:shd w:val="clear" w:color="auto" w:fill="FFFFFF"/>
        </w:rPr>
        <w:t>Its habitual activities and daily operations" are so local and limited in nature as to suggest that TurnAround is not a federal undertaking.”</w:t>
      </w:r>
      <w:r w:rsidRPr="00C71D90">
        <w:rPr>
          <w:rStyle w:val="Emphasis"/>
          <w:rFonts w:ascii="Times New Roman" w:hAnsi="Times New Roman" w:cs="Times New Roman"/>
          <w:i w:val="0"/>
          <w:sz w:val="24"/>
          <w:szCs w:val="24"/>
          <w:shd w:val="clear" w:color="auto" w:fill="FFFFFF"/>
        </w:rPr>
        <w:t xml:space="preserve"> </w:t>
      </w:r>
    </w:p>
    <w:p w:rsidR="008B78E9" w:rsidRPr="00C71D90" w:rsidRDefault="008B78E9" w:rsidP="0081566B">
      <w:pPr>
        <w:spacing w:before="100" w:beforeAutospacing="1" w:after="100" w:afterAutospacing="1" w:line="480" w:lineRule="auto"/>
        <w:jc w:val="center"/>
        <w:rPr>
          <w:rFonts w:ascii="Times New Roman" w:hAnsi="Times New Roman" w:cs="Times New Roman"/>
          <w:sz w:val="24"/>
          <w:szCs w:val="24"/>
        </w:rPr>
      </w:pPr>
      <w:r w:rsidRPr="00C71D90">
        <w:rPr>
          <w:rFonts w:ascii="Times New Roman" w:hAnsi="Times New Roman" w:cs="Times New Roman"/>
          <w:sz w:val="24"/>
          <w:szCs w:val="24"/>
        </w:rPr>
        <w:t>Legal issue</w:t>
      </w:r>
    </w:p>
    <w:p w:rsidR="00C71D90" w:rsidRPr="00C71D90" w:rsidRDefault="00C71D90" w:rsidP="00C71D90">
      <w:pPr>
        <w:spacing w:before="100" w:beforeAutospacing="1" w:after="100" w:afterAutospacing="1" w:line="480" w:lineRule="auto"/>
        <w:ind w:firstLine="720"/>
        <w:rPr>
          <w:rFonts w:ascii="Times New Roman" w:hAnsi="Times New Roman" w:cs="Times New Roman"/>
          <w:spacing w:val="-3"/>
          <w:sz w:val="24"/>
          <w:szCs w:val="24"/>
          <w:shd w:val="clear" w:color="auto" w:fill="FFFFFF"/>
        </w:rPr>
      </w:pPr>
      <w:r w:rsidRPr="00C71D90">
        <w:rPr>
          <w:rFonts w:ascii="Times New Roman" w:hAnsi="Times New Roman" w:cs="Times New Roman"/>
          <w:spacing w:val="-3"/>
          <w:sz w:val="24"/>
          <w:szCs w:val="24"/>
          <w:shd w:val="clear" w:color="auto" w:fill="FFFFFF"/>
        </w:rPr>
        <w:t> The question to be decided in this case is whether a bicycle and pedestrian courier company is providing “Postal Service” within the meaning of </w:t>
      </w:r>
      <w:hyperlink r:id="rId6" w:anchor="sec91subsec5_smooth" w:history="1">
        <w:r w:rsidRPr="00C71D90">
          <w:rPr>
            <w:rStyle w:val="Hyperlink"/>
            <w:rFonts w:ascii="Times New Roman" w:hAnsi="Times New Roman" w:cs="Times New Roman"/>
            <w:color w:val="auto"/>
            <w:spacing w:val="-3"/>
            <w:sz w:val="24"/>
            <w:szCs w:val="24"/>
            <w:u w:val="none"/>
            <w:shd w:val="clear" w:color="auto" w:fill="FFFFFF"/>
          </w:rPr>
          <w:t>section 91(5)</w:t>
        </w:r>
      </w:hyperlink>
      <w:r w:rsidRPr="00C71D90">
        <w:rPr>
          <w:rFonts w:ascii="Times New Roman" w:hAnsi="Times New Roman" w:cs="Times New Roman"/>
          <w:spacing w:val="-3"/>
          <w:sz w:val="24"/>
          <w:szCs w:val="24"/>
          <w:shd w:val="clear" w:color="auto" w:fill="FFFFFF"/>
        </w:rPr>
        <w:t> of the </w:t>
      </w:r>
      <w:hyperlink r:id="rId7" w:history="1">
        <w:r w:rsidRPr="00C71D90">
          <w:rPr>
            <w:rStyle w:val="Hyperlink"/>
            <w:rFonts w:ascii="Times New Roman" w:hAnsi="Times New Roman" w:cs="Times New Roman"/>
            <w:i/>
            <w:iCs/>
            <w:color w:val="auto"/>
            <w:spacing w:val="-3"/>
            <w:sz w:val="24"/>
            <w:szCs w:val="24"/>
            <w:u w:val="none"/>
            <w:shd w:val="clear" w:color="auto" w:fill="FFFFFF"/>
          </w:rPr>
          <w:t>Constitution Act, 1867 </w:t>
        </w:r>
        <w:r w:rsidRPr="00C71D90">
          <w:rPr>
            <w:rStyle w:val="Hyperlink"/>
            <w:rFonts w:ascii="Times New Roman" w:hAnsi="Times New Roman" w:cs="Times New Roman"/>
            <w:color w:val="auto"/>
            <w:spacing w:val="-3"/>
            <w:sz w:val="24"/>
            <w:szCs w:val="24"/>
            <w:u w:val="none"/>
            <w:shd w:val="clear" w:color="auto" w:fill="FFFFFF"/>
          </w:rPr>
          <w:t>(U.K.) 30 &amp; 31 Victoria, c. 3</w:t>
        </w:r>
      </w:hyperlink>
      <w:r w:rsidRPr="00C71D90">
        <w:rPr>
          <w:rFonts w:ascii="Times New Roman" w:hAnsi="Times New Roman" w:cs="Times New Roman"/>
          <w:spacing w:val="-3"/>
          <w:sz w:val="24"/>
          <w:szCs w:val="24"/>
          <w:shd w:val="clear" w:color="auto" w:fill="FFFFFF"/>
        </w:rPr>
        <w:t>,</w:t>
      </w:r>
      <w:r w:rsidRPr="00C71D90">
        <w:rPr>
          <w:rFonts w:ascii="Times New Roman" w:hAnsi="Times New Roman" w:cs="Times New Roman"/>
          <w:i/>
          <w:iCs/>
          <w:spacing w:val="-3"/>
          <w:sz w:val="24"/>
          <w:szCs w:val="24"/>
          <w:shd w:val="clear" w:color="auto" w:fill="FFFFFF"/>
        </w:rPr>
        <w:t> </w:t>
      </w:r>
      <w:r w:rsidRPr="00C71D90">
        <w:rPr>
          <w:rFonts w:ascii="Times New Roman" w:hAnsi="Times New Roman" w:cs="Times New Roman"/>
          <w:spacing w:val="-3"/>
          <w:sz w:val="24"/>
          <w:szCs w:val="24"/>
          <w:shd w:val="clear" w:color="auto" w:fill="FFFFFF"/>
        </w:rPr>
        <w:t>by delivering time-sensitive letters and packages exclusively within Toronto. If it is, the company’s operations are subject to the laws enacted by Parliament and, as a federal undertaking or business within the meaning of </w:t>
      </w:r>
      <w:hyperlink r:id="rId8" w:anchor="sec2_smooth" w:history="1">
        <w:r w:rsidRPr="00C71D90">
          <w:rPr>
            <w:rStyle w:val="Hyperlink"/>
            <w:rFonts w:ascii="Times New Roman" w:hAnsi="Times New Roman" w:cs="Times New Roman"/>
            <w:color w:val="auto"/>
            <w:spacing w:val="-3"/>
            <w:sz w:val="24"/>
            <w:szCs w:val="24"/>
            <w:u w:val="none"/>
            <w:shd w:val="clear" w:color="auto" w:fill="FFFFFF"/>
          </w:rPr>
          <w:t>section 2</w:t>
        </w:r>
      </w:hyperlink>
      <w:r w:rsidRPr="00C71D90">
        <w:rPr>
          <w:rFonts w:ascii="Times New Roman" w:hAnsi="Times New Roman" w:cs="Times New Roman"/>
          <w:spacing w:val="-3"/>
          <w:sz w:val="24"/>
          <w:szCs w:val="24"/>
          <w:shd w:val="clear" w:color="auto" w:fill="FFFFFF"/>
        </w:rPr>
        <w:t> of the </w:t>
      </w:r>
      <w:hyperlink r:id="rId9" w:history="1">
        <w:r w:rsidRPr="00C71D90">
          <w:rPr>
            <w:rStyle w:val="Hyperlink"/>
            <w:rFonts w:ascii="Times New Roman" w:hAnsi="Times New Roman" w:cs="Times New Roman"/>
            <w:i/>
            <w:iCs/>
            <w:color w:val="auto"/>
            <w:spacing w:val="-3"/>
            <w:sz w:val="24"/>
            <w:szCs w:val="24"/>
            <w:u w:val="none"/>
            <w:shd w:val="clear" w:color="auto" w:fill="FFFFFF"/>
          </w:rPr>
          <w:t>Canada Labour Code</w:t>
        </w:r>
        <w:r w:rsidRPr="00C71D90">
          <w:rPr>
            <w:rStyle w:val="Hyperlink"/>
            <w:rFonts w:ascii="Times New Roman" w:hAnsi="Times New Roman" w:cs="Times New Roman"/>
            <w:color w:val="auto"/>
            <w:spacing w:val="-3"/>
            <w:sz w:val="24"/>
            <w:szCs w:val="24"/>
            <w:u w:val="none"/>
            <w:shd w:val="clear" w:color="auto" w:fill="FFFFFF"/>
          </w:rPr>
          <w:t>, R.S.C 1985, c. L-2</w:t>
        </w:r>
      </w:hyperlink>
      <w:r w:rsidRPr="00C71D90">
        <w:rPr>
          <w:rFonts w:ascii="Times New Roman" w:hAnsi="Times New Roman" w:cs="Times New Roman"/>
          <w:spacing w:val="-3"/>
          <w:sz w:val="24"/>
          <w:szCs w:val="24"/>
          <w:shd w:val="clear" w:color="auto" w:fill="FFFFFF"/>
        </w:rPr>
        <w:t> (</w:t>
      </w:r>
      <w:hyperlink r:id="rId10" w:history="1">
        <w:r w:rsidRPr="00C71D90">
          <w:rPr>
            <w:rStyle w:val="Hyperlink"/>
            <w:rFonts w:ascii="Times New Roman" w:hAnsi="Times New Roman" w:cs="Times New Roman"/>
            <w:color w:val="auto"/>
            <w:spacing w:val="-3"/>
            <w:sz w:val="24"/>
            <w:szCs w:val="24"/>
            <w:u w:val="none"/>
            <w:shd w:val="clear" w:color="auto" w:fill="FFFFFF"/>
          </w:rPr>
          <w:t>Code</w:t>
        </w:r>
      </w:hyperlink>
      <w:r w:rsidRPr="00C71D90">
        <w:rPr>
          <w:rFonts w:ascii="Times New Roman" w:hAnsi="Times New Roman" w:cs="Times New Roman"/>
          <w:spacing w:val="-3"/>
          <w:sz w:val="24"/>
          <w:szCs w:val="24"/>
          <w:shd w:val="clear" w:color="auto" w:fill="FFFFFF"/>
        </w:rPr>
        <w:t>), the </w:t>
      </w:r>
      <w:hyperlink r:id="rId11" w:history="1">
        <w:r w:rsidRPr="00C71D90">
          <w:rPr>
            <w:rStyle w:val="Hyperlink"/>
            <w:rFonts w:ascii="Times New Roman" w:hAnsi="Times New Roman" w:cs="Times New Roman"/>
            <w:color w:val="auto"/>
            <w:spacing w:val="-3"/>
            <w:sz w:val="24"/>
            <w:szCs w:val="24"/>
            <w:u w:val="none"/>
            <w:shd w:val="clear" w:color="auto" w:fill="FFFFFF"/>
          </w:rPr>
          <w:t>Code</w:t>
        </w:r>
      </w:hyperlink>
      <w:r w:rsidRPr="00C71D90">
        <w:rPr>
          <w:rFonts w:ascii="Times New Roman" w:hAnsi="Times New Roman" w:cs="Times New Roman"/>
          <w:spacing w:val="-3"/>
          <w:sz w:val="24"/>
          <w:szCs w:val="24"/>
          <w:shd w:val="clear" w:color="auto" w:fill="FFFFFF"/>
        </w:rPr>
        <w:t> applies to its labour relations. However, if the company is not providing “Postal Service”, it is a local undertaking under </w:t>
      </w:r>
      <w:hyperlink r:id="rId12" w:anchor="sec92subsec10_smooth" w:history="1">
        <w:r w:rsidRPr="00C71D90">
          <w:rPr>
            <w:rStyle w:val="Hyperlink"/>
            <w:rFonts w:ascii="Times New Roman" w:hAnsi="Times New Roman" w:cs="Times New Roman"/>
            <w:color w:val="auto"/>
            <w:spacing w:val="-3"/>
            <w:sz w:val="24"/>
            <w:szCs w:val="24"/>
            <w:u w:val="none"/>
            <w:shd w:val="clear" w:color="auto" w:fill="FFFFFF"/>
          </w:rPr>
          <w:t>section 92(10)</w:t>
        </w:r>
      </w:hyperlink>
      <w:r w:rsidRPr="00C71D90">
        <w:rPr>
          <w:rFonts w:ascii="Times New Roman" w:hAnsi="Times New Roman" w:cs="Times New Roman"/>
          <w:spacing w:val="-3"/>
          <w:sz w:val="24"/>
          <w:szCs w:val="24"/>
          <w:shd w:val="clear" w:color="auto" w:fill="FFFFFF"/>
        </w:rPr>
        <w:t> of the </w:t>
      </w:r>
      <w:hyperlink r:id="rId13" w:history="1">
        <w:r w:rsidRPr="00C71D90">
          <w:rPr>
            <w:rStyle w:val="Hyperlink"/>
            <w:rFonts w:ascii="Times New Roman" w:hAnsi="Times New Roman" w:cs="Times New Roman"/>
            <w:i/>
            <w:iCs/>
            <w:color w:val="auto"/>
            <w:spacing w:val="-3"/>
            <w:sz w:val="24"/>
            <w:szCs w:val="24"/>
            <w:u w:val="none"/>
            <w:shd w:val="clear" w:color="auto" w:fill="FFFFFF"/>
          </w:rPr>
          <w:t>Constitution Act, 1867</w:t>
        </w:r>
      </w:hyperlink>
      <w:r w:rsidRPr="00C71D90">
        <w:rPr>
          <w:rFonts w:ascii="Times New Roman" w:hAnsi="Times New Roman" w:cs="Times New Roman"/>
          <w:spacing w:val="-3"/>
          <w:sz w:val="24"/>
          <w:szCs w:val="24"/>
          <w:shd w:val="clear" w:color="auto" w:fill="FFFFFF"/>
        </w:rPr>
        <w:t>, and the laws of Ontario regulate its labour relations.</w:t>
      </w:r>
    </w:p>
    <w:p w:rsidR="00755586" w:rsidRPr="00C71D90" w:rsidRDefault="00264BC5" w:rsidP="00C71D90">
      <w:pPr>
        <w:spacing w:before="100" w:beforeAutospacing="1" w:after="100" w:afterAutospacing="1" w:line="480" w:lineRule="auto"/>
        <w:ind w:firstLine="720"/>
        <w:rPr>
          <w:rFonts w:ascii="Times New Roman" w:hAnsi="Times New Roman" w:cs="Times New Roman"/>
          <w:sz w:val="24"/>
          <w:szCs w:val="24"/>
          <w:shd w:val="clear" w:color="auto" w:fill="FFFFFF"/>
        </w:rPr>
      </w:pPr>
      <w:r w:rsidRPr="00C71D90">
        <w:rPr>
          <w:rFonts w:ascii="Times New Roman" w:hAnsi="Times New Roman" w:cs="Times New Roman"/>
          <w:sz w:val="24"/>
          <w:szCs w:val="24"/>
        </w:rPr>
        <w:t xml:space="preserve">The legal issue that required the decision of a judge and which was the primary reason as to why the application was made was </w:t>
      </w:r>
      <w:r w:rsidR="00183776" w:rsidRPr="00C71D90">
        <w:rPr>
          <w:rFonts w:ascii="Times New Roman" w:hAnsi="Times New Roman" w:cs="Times New Roman"/>
          <w:sz w:val="24"/>
          <w:szCs w:val="24"/>
        </w:rPr>
        <w:t xml:space="preserve">the issue that TurnAround Inc. operations were so local to suggest that it was not a federal undertaking. </w:t>
      </w:r>
      <w:r w:rsidR="00424714" w:rsidRPr="00C71D90">
        <w:rPr>
          <w:rFonts w:ascii="Times New Roman" w:hAnsi="Times New Roman" w:cs="Times New Roman"/>
          <w:sz w:val="24"/>
          <w:szCs w:val="24"/>
        </w:rPr>
        <w:t>This application was made to appeal for the Federal C.A.’s stand that denied the employer (complainant) from the application for a judicial review of a decision that was earlier on made by the Canada Industrial Relations Board. The decision made by the Board denied TurnAround Inc. the request t</w:t>
      </w:r>
      <w:r w:rsidR="00424714" w:rsidRPr="00C71D90">
        <w:rPr>
          <w:rFonts w:ascii="Times New Roman" w:hAnsi="Times New Roman" w:cs="Times New Roman"/>
          <w:sz w:val="24"/>
          <w:szCs w:val="24"/>
          <w:shd w:val="clear" w:color="auto" w:fill="FFFFFF"/>
        </w:rPr>
        <w:t>hat it reconsider an even earlier decision (the original decision).</w:t>
      </w:r>
      <w:r w:rsidR="00424714" w:rsidRPr="00C71D90">
        <w:rPr>
          <w:rFonts w:ascii="Times New Roman" w:hAnsi="Times New Roman" w:cs="Times New Roman"/>
          <w:sz w:val="24"/>
          <w:szCs w:val="24"/>
          <w:shd w:val="clear" w:color="auto" w:fill="FFFFFF"/>
        </w:rPr>
        <w:t xml:space="preserve"> </w:t>
      </w:r>
      <w:r w:rsidR="00424714" w:rsidRPr="00C71D90">
        <w:rPr>
          <w:rFonts w:ascii="Times New Roman" w:hAnsi="Times New Roman" w:cs="Times New Roman"/>
          <w:sz w:val="24"/>
          <w:szCs w:val="24"/>
          <w:shd w:val="clear" w:color="auto" w:fill="FFFFFF"/>
        </w:rPr>
        <w:t>In the original decision, the Board dismissed a complaint filed by the complainant, alleging that the Canadian Union of Postal Workers violated the </w:t>
      </w:r>
      <w:r w:rsidR="00424714" w:rsidRPr="00C71D90">
        <w:rPr>
          <w:rStyle w:val="Emphasis"/>
          <w:rFonts w:ascii="Times New Roman" w:hAnsi="Times New Roman" w:cs="Times New Roman"/>
          <w:sz w:val="24"/>
          <w:szCs w:val="24"/>
          <w:shd w:val="clear" w:color="auto" w:fill="FFFFFF"/>
        </w:rPr>
        <w:t xml:space="preserve">Canada Labour </w:t>
      </w:r>
      <w:r w:rsidR="00424714" w:rsidRPr="00C71D90">
        <w:rPr>
          <w:rStyle w:val="Emphasis"/>
          <w:rFonts w:ascii="Times New Roman" w:hAnsi="Times New Roman" w:cs="Times New Roman"/>
          <w:sz w:val="24"/>
          <w:szCs w:val="24"/>
          <w:shd w:val="clear" w:color="auto" w:fill="FFFFFF"/>
        </w:rPr>
        <w:lastRenderedPageBreak/>
        <w:t>Code</w:t>
      </w:r>
      <w:r w:rsidR="00424714" w:rsidRPr="00C71D90">
        <w:rPr>
          <w:rFonts w:ascii="Times New Roman" w:hAnsi="Times New Roman" w:cs="Times New Roman"/>
          <w:sz w:val="24"/>
          <w:szCs w:val="24"/>
          <w:shd w:val="clear" w:color="auto" w:fill="FFFFFF"/>
        </w:rPr>
        <w:t> (Part I – Industrial Relations), when it handled various matters, including a notice of discharge issued by the Canada Post Corporation (the complainant's employer) during a lockout. In denying the complainant's request for reconsideration, the Board stated that, on the information that she had provided, there was no basis on which reconsideration could be justified. Having considered the submissions of the complainant, both written and oral, the Federal C.A. was not satisfied that the Board's decision to deny her request for reconsideration was unreasonable. Accordingly, the Federal C.A. denied her application for judicial review.</w:t>
      </w:r>
      <w:r w:rsidR="00424714" w:rsidRPr="00C71D90">
        <w:rPr>
          <w:rFonts w:ascii="Times New Roman" w:hAnsi="Times New Roman" w:cs="Times New Roman"/>
          <w:sz w:val="24"/>
          <w:szCs w:val="24"/>
        </w:rPr>
        <w:br/>
      </w:r>
      <w:r w:rsidR="00424714" w:rsidRPr="00C71D90">
        <w:rPr>
          <w:rStyle w:val="Emphasis"/>
          <w:rFonts w:ascii="Times New Roman" w:hAnsi="Times New Roman" w:cs="Times New Roman"/>
          <w:sz w:val="24"/>
          <w:szCs w:val="24"/>
          <w:shd w:val="clear" w:color="auto" w:fill="FFFFFF"/>
        </w:rPr>
        <w:t>Deborah Guydos v. Canadian Union of Postal Workers, Canada Post Corporation</w:t>
      </w:r>
      <w:r w:rsidR="00424714" w:rsidRPr="00C71D90">
        <w:rPr>
          <w:rFonts w:ascii="Times New Roman" w:hAnsi="Times New Roman" w:cs="Times New Roman"/>
          <w:sz w:val="24"/>
          <w:szCs w:val="24"/>
          <w:shd w:val="clear" w:color="auto" w:fill="FFFFFF"/>
        </w:rPr>
        <w:t> (Fed. C.A., Jan. 16, 2013) (35274)</w:t>
      </w:r>
    </w:p>
    <w:p w:rsidR="00424714" w:rsidRPr="00C71D90" w:rsidRDefault="00424714" w:rsidP="0081566B">
      <w:pPr>
        <w:spacing w:before="100" w:beforeAutospacing="1" w:after="100" w:afterAutospacing="1" w:line="480" w:lineRule="auto"/>
        <w:jc w:val="center"/>
        <w:rPr>
          <w:rFonts w:ascii="Times New Roman" w:hAnsi="Times New Roman" w:cs="Times New Roman"/>
          <w:sz w:val="24"/>
          <w:szCs w:val="24"/>
          <w:shd w:val="clear" w:color="auto" w:fill="FFFFFF"/>
        </w:rPr>
      </w:pPr>
      <w:r w:rsidRPr="00C71D90">
        <w:rPr>
          <w:rFonts w:ascii="Times New Roman" w:hAnsi="Times New Roman" w:cs="Times New Roman"/>
          <w:sz w:val="24"/>
          <w:szCs w:val="24"/>
          <w:shd w:val="clear" w:color="auto" w:fill="FFFFFF"/>
        </w:rPr>
        <w:t>Reasoning</w:t>
      </w:r>
    </w:p>
    <w:p w:rsidR="00396E40" w:rsidRPr="00C71D90" w:rsidRDefault="00396E40" w:rsidP="00C71D90">
      <w:pPr>
        <w:spacing w:before="100" w:beforeAutospacing="1" w:after="100" w:afterAutospacing="1" w:line="480" w:lineRule="auto"/>
        <w:ind w:firstLine="720"/>
        <w:rPr>
          <w:rFonts w:ascii="Times New Roman" w:hAnsi="Times New Roman" w:cs="Times New Roman"/>
          <w:sz w:val="24"/>
          <w:szCs w:val="24"/>
        </w:rPr>
      </w:pPr>
      <w:r w:rsidRPr="00C71D90">
        <w:rPr>
          <w:rFonts w:ascii="Times New Roman" w:hAnsi="Times New Roman" w:cs="Times New Roman"/>
          <w:sz w:val="24"/>
          <w:szCs w:val="24"/>
        </w:rPr>
        <w:t xml:space="preserve">This case ended up after CIRB overruled that TurnAround Inc. was within provincial jurisdiction. The case was decided on the basis of public policy. There were no standards of ruling since the constitution had not provided for that. As a result, facts were used to establish legality. </w:t>
      </w:r>
    </w:p>
    <w:p w:rsidR="00396E40" w:rsidRPr="00C71D90" w:rsidRDefault="00396E40" w:rsidP="00C71D90">
      <w:pPr>
        <w:spacing w:before="100" w:beforeAutospacing="1" w:after="100" w:afterAutospacing="1" w:line="480" w:lineRule="auto"/>
        <w:ind w:firstLine="720"/>
        <w:rPr>
          <w:rFonts w:ascii="Times New Roman" w:hAnsi="Times New Roman" w:cs="Times New Roman"/>
          <w:sz w:val="24"/>
          <w:szCs w:val="24"/>
        </w:rPr>
      </w:pPr>
      <w:r w:rsidRPr="00C71D90">
        <w:rPr>
          <w:rFonts w:ascii="Times New Roman" w:hAnsi="Times New Roman" w:cs="Times New Roman"/>
          <w:sz w:val="24"/>
          <w:szCs w:val="24"/>
        </w:rPr>
        <w:t xml:space="preserve">As a matter of fact, the reviews that were made were based on truths. For instance, TurnAround Inc. was found to be a courier company that was began in the year 2002 and it operated in the Greater Toronto Area. With offices exact location known, 597 Parliament Street in Toronto. Since the time the certification was issued, the company had hired 6 bicycle couriers and other 3 walkers who took, transported and delivered letters and small packages in the areas of the GTA among them Papa Avenue, Dufferin Street, among  others. </w:t>
      </w:r>
    </w:p>
    <w:p w:rsidR="00396E40" w:rsidRPr="00C71D90" w:rsidRDefault="00396E40" w:rsidP="00C71D90">
      <w:pPr>
        <w:spacing w:before="100" w:beforeAutospacing="1" w:after="100" w:afterAutospacing="1" w:line="480" w:lineRule="auto"/>
        <w:ind w:firstLine="720"/>
        <w:rPr>
          <w:rFonts w:ascii="Times New Roman" w:hAnsi="Times New Roman" w:cs="Times New Roman"/>
          <w:sz w:val="24"/>
          <w:szCs w:val="24"/>
          <w:shd w:val="clear" w:color="auto" w:fill="FFFFFF"/>
        </w:rPr>
      </w:pPr>
      <w:r w:rsidRPr="00C71D90">
        <w:rPr>
          <w:rFonts w:ascii="Times New Roman" w:hAnsi="Times New Roman" w:cs="Times New Roman"/>
          <w:sz w:val="24"/>
          <w:szCs w:val="24"/>
        </w:rPr>
        <w:lastRenderedPageBreak/>
        <w:t xml:space="preserve">Having features of a social enterprise which it had branded itself on, the company admin agreed it was a profit business and not a stepping stone for the youths as they made it to look like. </w:t>
      </w:r>
      <w:r w:rsidR="00C71D90" w:rsidRPr="00C71D90">
        <w:rPr>
          <w:rFonts w:ascii="Times New Roman" w:hAnsi="Times New Roman" w:cs="Times New Roman"/>
          <w:sz w:val="24"/>
          <w:szCs w:val="24"/>
        </w:rPr>
        <w:t xml:space="preserve">They alluded that it was not a career destination for the youth but it made profits and gave payable loans to its employers. </w:t>
      </w:r>
      <w:r w:rsidR="00C71D90" w:rsidRPr="00C71D90">
        <w:rPr>
          <w:rFonts w:ascii="Times New Roman" w:hAnsi="Times New Roman" w:cs="Times New Roman"/>
          <w:sz w:val="24"/>
          <w:szCs w:val="24"/>
          <w:shd w:val="clear" w:color="auto" w:fill="FFFFFF"/>
        </w:rPr>
        <w:t>The employer provides interest free loans at the outset of tenure to the couriers to enable them to buy bikes, helmets, locks and maps; these loans are repaid as and when the financial profile of the courier allows. The employer also states that it offers scholarships to those wishing to return to school.</w:t>
      </w:r>
    </w:p>
    <w:p w:rsidR="008B78E9" w:rsidRPr="00C71D90" w:rsidRDefault="008B78E9" w:rsidP="0081566B">
      <w:pPr>
        <w:spacing w:before="100" w:beforeAutospacing="1" w:after="100" w:afterAutospacing="1" w:line="480" w:lineRule="auto"/>
        <w:jc w:val="center"/>
        <w:rPr>
          <w:rFonts w:ascii="Times New Roman" w:hAnsi="Times New Roman" w:cs="Times New Roman"/>
          <w:sz w:val="24"/>
          <w:szCs w:val="24"/>
        </w:rPr>
      </w:pPr>
      <w:r w:rsidRPr="00C71D90">
        <w:rPr>
          <w:rFonts w:ascii="Times New Roman" w:hAnsi="Times New Roman" w:cs="Times New Roman"/>
          <w:sz w:val="24"/>
          <w:szCs w:val="24"/>
        </w:rPr>
        <w:t>Conclusion</w:t>
      </w:r>
    </w:p>
    <w:p w:rsidR="00C71D90" w:rsidRPr="00C71D90" w:rsidRDefault="00C71D90" w:rsidP="00C71D90">
      <w:pPr>
        <w:spacing w:before="100" w:beforeAutospacing="1" w:after="100" w:afterAutospacing="1" w:line="480" w:lineRule="auto"/>
        <w:rPr>
          <w:rFonts w:ascii="Times New Roman" w:hAnsi="Times New Roman" w:cs="Times New Roman"/>
          <w:spacing w:val="-3"/>
          <w:sz w:val="24"/>
          <w:szCs w:val="24"/>
          <w:shd w:val="clear" w:color="auto" w:fill="FFFFFF"/>
        </w:rPr>
      </w:pPr>
      <w:r w:rsidRPr="00C71D90">
        <w:rPr>
          <w:rFonts w:ascii="Times New Roman" w:hAnsi="Times New Roman" w:cs="Times New Roman"/>
          <w:sz w:val="24"/>
          <w:szCs w:val="24"/>
        </w:rPr>
        <w:tab/>
      </w:r>
      <w:r w:rsidRPr="00C71D90">
        <w:rPr>
          <w:rFonts w:ascii="Times New Roman" w:hAnsi="Times New Roman" w:cs="Times New Roman"/>
          <w:spacing w:val="-3"/>
          <w:sz w:val="24"/>
          <w:szCs w:val="24"/>
          <w:shd w:val="clear" w:color="auto" w:fill="FFFFFF"/>
        </w:rPr>
        <w:t>In a nutshell, TurnAround and the interveners argue that “Postal Service” means Canada’s national postal service, currently provided by </w:t>
      </w:r>
      <w:hyperlink r:id="rId14" w:history="1">
        <w:r w:rsidRPr="00C71D90">
          <w:rPr>
            <w:rStyle w:val="Hyperlink"/>
            <w:rFonts w:ascii="Times New Roman" w:hAnsi="Times New Roman" w:cs="Times New Roman"/>
            <w:color w:val="auto"/>
            <w:spacing w:val="-3"/>
            <w:sz w:val="24"/>
            <w:szCs w:val="24"/>
            <w:u w:val="none"/>
            <w:shd w:val="clear" w:color="auto" w:fill="FFFFFF"/>
          </w:rPr>
          <w:t>CPC</w:t>
        </w:r>
      </w:hyperlink>
      <w:r w:rsidRPr="00C71D90">
        <w:rPr>
          <w:rFonts w:ascii="Times New Roman" w:hAnsi="Times New Roman" w:cs="Times New Roman"/>
          <w:spacing w:val="-3"/>
          <w:sz w:val="24"/>
          <w:szCs w:val="24"/>
          <w:shd w:val="clear" w:color="auto" w:fill="FFFFFF"/>
        </w:rPr>
        <w:t>, a federal crown corporation, and previously by the Post Office, a Department of the federal government. Since it operates entirely within the Province of Ontario, they submit that TurnAround is a local undertaking and, as such, its labour relations are not regulated by the </w:t>
      </w:r>
      <w:hyperlink r:id="rId15" w:history="1">
        <w:r w:rsidRPr="00C71D90">
          <w:rPr>
            <w:rStyle w:val="Hyperlink"/>
            <w:rFonts w:ascii="Times New Roman" w:hAnsi="Times New Roman" w:cs="Times New Roman"/>
            <w:color w:val="auto"/>
            <w:spacing w:val="-3"/>
            <w:sz w:val="24"/>
            <w:szCs w:val="24"/>
            <w:u w:val="none"/>
            <w:shd w:val="clear" w:color="auto" w:fill="FFFFFF"/>
          </w:rPr>
          <w:t>Code</w:t>
        </w:r>
      </w:hyperlink>
      <w:r w:rsidRPr="00C71D90">
        <w:rPr>
          <w:rFonts w:ascii="Times New Roman" w:hAnsi="Times New Roman" w:cs="Times New Roman"/>
          <w:spacing w:val="-3"/>
          <w:sz w:val="24"/>
          <w:szCs w:val="24"/>
          <w:shd w:val="clear" w:color="auto" w:fill="FFFFFF"/>
        </w:rPr>
        <w:t>. CUPW, on the other hand, says that TurnAround is providing a postal service within the meaning of </w:t>
      </w:r>
      <w:hyperlink r:id="rId16" w:anchor="sec91subsec5_smooth" w:history="1">
        <w:r w:rsidRPr="00C71D90">
          <w:rPr>
            <w:rStyle w:val="Hyperlink"/>
            <w:rFonts w:ascii="Times New Roman" w:hAnsi="Times New Roman" w:cs="Times New Roman"/>
            <w:color w:val="auto"/>
            <w:spacing w:val="-3"/>
            <w:sz w:val="24"/>
            <w:szCs w:val="24"/>
            <w:u w:val="none"/>
            <w:shd w:val="clear" w:color="auto" w:fill="FFFFFF"/>
          </w:rPr>
          <w:t>section 91(5)</w:t>
        </w:r>
      </w:hyperlink>
      <w:r w:rsidRPr="00C71D90">
        <w:rPr>
          <w:rFonts w:ascii="Times New Roman" w:hAnsi="Times New Roman" w:cs="Times New Roman"/>
          <w:spacing w:val="-3"/>
          <w:sz w:val="24"/>
          <w:szCs w:val="24"/>
          <w:shd w:val="clear" w:color="auto" w:fill="FFFFFF"/>
        </w:rPr>
        <w:t> because it is doing something that Parliament could authorize the </w:t>
      </w:r>
      <w:hyperlink r:id="rId17" w:history="1">
        <w:r w:rsidRPr="00C71D90">
          <w:rPr>
            <w:rStyle w:val="Hyperlink"/>
            <w:rFonts w:ascii="Times New Roman" w:hAnsi="Times New Roman" w:cs="Times New Roman"/>
            <w:color w:val="auto"/>
            <w:spacing w:val="-3"/>
            <w:sz w:val="24"/>
            <w:szCs w:val="24"/>
            <w:u w:val="none"/>
            <w:shd w:val="clear" w:color="auto" w:fill="FFFFFF"/>
          </w:rPr>
          <w:t>CPC</w:t>
        </w:r>
      </w:hyperlink>
      <w:r w:rsidRPr="00C71D90">
        <w:rPr>
          <w:rFonts w:ascii="Times New Roman" w:hAnsi="Times New Roman" w:cs="Times New Roman"/>
          <w:spacing w:val="-3"/>
          <w:sz w:val="24"/>
          <w:szCs w:val="24"/>
          <w:shd w:val="clear" w:color="auto" w:fill="FFFFFF"/>
        </w:rPr>
        <w:t> to do as part of its monopoly over postal service: offer a same-day local delivery service for letters and small packages.</w:t>
      </w:r>
      <w:r w:rsidRPr="00C71D90">
        <w:rPr>
          <w:rFonts w:ascii="Times New Roman" w:hAnsi="Times New Roman" w:cs="Times New Roman"/>
          <w:spacing w:val="-3"/>
          <w:sz w:val="24"/>
          <w:szCs w:val="24"/>
          <w:shd w:val="clear" w:color="auto" w:fill="FFFFFF"/>
        </w:rPr>
        <w:t xml:space="preserve"> </w:t>
      </w:r>
    </w:p>
    <w:p w:rsidR="008B78E9" w:rsidRPr="00C71D90" w:rsidRDefault="008B78E9" w:rsidP="0081566B">
      <w:pPr>
        <w:spacing w:before="100" w:beforeAutospacing="1" w:after="100" w:afterAutospacing="1" w:line="480" w:lineRule="auto"/>
        <w:jc w:val="center"/>
        <w:rPr>
          <w:rFonts w:ascii="Times New Roman" w:hAnsi="Times New Roman" w:cs="Times New Roman"/>
          <w:sz w:val="24"/>
          <w:szCs w:val="24"/>
        </w:rPr>
      </w:pPr>
      <w:r w:rsidRPr="00C71D90">
        <w:rPr>
          <w:rFonts w:ascii="Times New Roman" w:hAnsi="Times New Roman" w:cs="Times New Roman"/>
          <w:sz w:val="24"/>
          <w:szCs w:val="24"/>
        </w:rPr>
        <w:t>Comparison</w:t>
      </w:r>
    </w:p>
    <w:p w:rsidR="00C71D90" w:rsidRDefault="00C71D90" w:rsidP="0081566B">
      <w:pPr>
        <w:shd w:val="clear" w:color="auto" w:fill="FFFFFF"/>
        <w:spacing w:before="100" w:beforeAutospacing="1" w:after="100" w:afterAutospacing="1" w:line="480" w:lineRule="auto"/>
        <w:ind w:firstLine="720"/>
        <w:rPr>
          <w:rFonts w:ascii="Times New Roman" w:eastAsia="Times New Roman" w:hAnsi="Times New Roman" w:cs="Times New Roman"/>
          <w:spacing w:val="-3"/>
          <w:sz w:val="24"/>
          <w:szCs w:val="24"/>
        </w:rPr>
      </w:pPr>
      <w:r w:rsidRPr="00C71D90">
        <w:rPr>
          <w:rFonts w:ascii="Times New Roman" w:eastAsia="Times New Roman" w:hAnsi="Times New Roman" w:cs="Times New Roman"/>
          <w:spacing w:val="-3"/>
          <w:sz w:val="24"/>
          <w:szCs w:val="24"/>
        </w:rPr>
        <w:t>I do not agree. When Estey J.’s observation is read in context, it does not have the meaning attributed to it by the Board. He said (at 270):</w:t>
      </w:r>
      <w:r w:rsidR="0081566B">
        <w:rPr>
          <w:rFonts w:ascii="Times New Roman" w:eastAsia="Times New Roman" w:hAnsi="Times New Roman" w:cs="Times New Roman"/>
          <w:spacing w:val="-3"/>
          <w:sz w:val="24"/>
          <w:szCs w:val="24"/>
        </w:rPr>
        <w:t xml:space="preserve"> </w:t>
      </w:r>
      <w:r w:rsidRPr="00C71D90">
        <w:rPr>
          <w:rFonts w:ascii="Times New Roman" w:eastAsia="Times New Roman" w:hAnsi="Times New Roman" w:cs="Times New Roman"/>
          <w:spacing w:val="-3"/>
          <w:sz w:val="24"/>
          <w:szCs w:val="24"/>
        </w:rPr>
        <w:t>The phrase “Postal Service” does not appear to have been generally used prior to Confederation, but the business of the Post Office as then conducted, the use of the phrase “Postal business and arrangements” in the </w:t>
      </w:r>
      <w:r w:rsidRPr="00C71D90">
        <w:rPr>
          <w:rFonts w:ascii="Times New Roman" w:eastAsia="Times New Roman" w:hAnsi="Times New Roman" w:cs="Times New Roman"/>
          <w:i/>
          <w:iCs/>
          <w:spacing w:val="-3"/>
          <w:sz w:val="24"/>
          <w:szCs w:val="24"/>
        </w:rPr>
        <w:t>Post Office Act</w:t>
      </w:r>
      <w:r w:rsidRPr="00C71D90">
        <w:rPr>
          <w:rFonts w:ascii="Times New Roman" w:eastAsia="Times New Roman" w:hAnsi="Times New Roman" w:cs="Times New Roman"/>
          <w:spacing w:val="-3"/>
          <w:sz w:val="24"/>
          <w:szCs w:val="24"/>
        </w:rPr>
        <w:t xml:space="preserve"> (Can.22 Vict., c. 31, </w:t>
      </w:r>
      <w:r w:rsidRPr="00C71D90">
        <w:rPr>
          <w:rFonts w:ascii="Times New Roman" w:eastAsia="Times New Roman" w:hAnsi="Times New Roman" w:cs="Times New Roman"/>
          <w:spacing w:val="-3"/>
          <w:sz w:val="24"/>
          <w:szCs w:val="24"/>
        </w:rPr>
        <w:lastRenderedPageBreak/>
        <w:t>s. 14(16)), indicate that the Imperial Parliament in adopting the phrase “Postal Service”, - a phrase of the widest import – in the </w:t>
      </w:r>
      <w:r w:rsidRPr="00C71D90">
        <w:rPr>
          <w:rFonts w:ascii="Times New Roman" w:eastAsia="Times New Roman" w:hAnsi="Times New Roman" w:cs="Times New Roman"/>
          <w:i/>
          <w:iCs/>
          <w:spacing w:val="-3"/>
          <w:sz w:val="24"/>
          <w:szCs w:val="24"/>
        </w:rPr>
        <w:t>B.N.A. Act</w:t>
      </w:r>
      <w:r w:rsidRPr="00C71D90">
        <w:rPr>
          <w:rFonts w:ascii="Times New Roman" w:eastAsia="Times New Roman" w:hAnsi="Times New Roman" w:cs="Times New Roman"/>
          <w:spacing w:val="-3"/>
          <w:sz w:val="24"/>
          <w:szCs w:val="24"/>
        </w:rPr>
        <w:t>, s. 91(5), intended that it should be construed as sufficiently comprehensive to include all the accommodations and facilities provided by the Post Office.</w:t>
      </w: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bookmarkStart w:id="0" w:name="_GoBack"/>
      <w:bookmarkEnd w:id="0"/>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p>
    <w:p w:rsidR="0081566B" w:rsidRDefault="0081566B" w:rsidP="0081566B">
      <w:pPr>
        <w:shd w:val="clear" w:color="auto" w:fill="FFFFFF"/>
        <w:spacing w:before="100" w:beforeAutospacing="1" w:after="100" w:afterAutospacing="1" w:line="480" w:lineRule="auto"/>
        <w:jc w:val="center"/>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lastRenderedPageBreak/>
        <w:t>References</w:t>
      </w:r>
    </w:p>
    <w:p w:rsidR="0081566B" w:rsidRPr="00C71D90" w:rsidRDefault="0081566B" w:rsidP="0081566B">
      <w:pPr>
        <w:shd w:val="clear" w:color="auto" w:fill="FFFFFF"/>
        <w:spacing w:before="100" w:beforeAutospacing="1" w:after="100" w:afterAutospacing="1" w:line="480" w:lineRule="auto"/>
        <w:ind w:left="720" w:hanging="720"/>
        <w:rPr>
          <w:rFonts w:ascii="Times New Roman" w:eastAsia="Times New Roman" w:hAnsi="Times New Roman" w:cs="Times New Roman"/>
          <w:spacing w:val="-3"/>
          <w:sz w:val="24"/>
          <w:szCs w:val="24"/>
        </w:rPr>
      </w:pPr>
      <w:r w:rsidRPr="0081566B">
        <w:rPr>
          <w:rFonts w:ascii="Times New Roman" w:hAnsi="Times New Roman" w:cs="Times New Roman"/>
          <w:color w:val="222222"/>
          <w:sz w:val="24"/>
          <w:szCs w:val="24"/>
          <w:shd w:val="clear" w:color="auto" w:fill="FFFFFF"/>
        </w:rPr>
        <w:t>Pupo, N., &amp; Noack, A. M. (2014). Organizing Local Messengers: Working Conditions and Barriers to Unionization. </w:t>
      </w:r>
      <w:r w:rsidRPr="0081566B">
        <w:rPr>
          <w:rFonts w:ascii="Times New Roman" w:hAnsi="Times New Roman" w:cs="Times New Roman"/>
          <w:i/>
          <w:iCs/>
          <w:color w:val="222222"/>
          <w:sz w:val="24"/>
          <w:szCs w:val="24"/>
          <w:shd w:val="clear" w:color="auto" w:fill="FFFFFF"/>
        </w:rPr>
        <w:t>Canadian Journal of Sociology</w:t>
      </w:r>
      <w:r w:rsidRPr="0081566B">
        <w:rPr>
          <w:rFonts w:ascii="Times New Roman" w:hAnsi="Times New Roman" w:cs="Times New Roman"/>
          <w:color w:val="222222"/>
          <w:sz w:val="24"/>
          <w:szCs w:val="24"/>
          <w:shd w:val="clear" w:color="auto" w:fill="FFFFFF"/>
        </w:rPr>
        <w:t>, </w:t>
      </w:r>
      <w:r w:rsidRPr="0081566B">
        <w:rPr>
          <w:rFonts w:ascii="Times New Roman" w:hAnsi="Times New Roman" w:cs="Times New Roman"/>
          <w:i/>
          <w:iCs/>
          <w:color w:val="222222"/>
          <w:sz w:val="24"/>
          <w:szCs w:val="24"/>
          <w:shd w:val="clear" w:color="auto" w:fill="FFFFFF"/>
        </w:rPr>
        <w:t>39</w:t>
      </w:r>
      <w:r w:rsidRPr="0081566B">
        <w:rPr>
          <w:rFonts w:ascii="Times New Roman" w:hAnsi="Times New Roman" w:cs="Times New Roman"/>
          <w:color w:val="222222"/>
          <w:sz w:val="24"/>
          <w:szCs w:val="24"/>
          <w:shd w:val="clear" w:color="auto" w:fill="FFFFFF"/>
        </w:rPr>
        <w:t>(3), 331-356.</w:t>
      </w:r>
    </w:p>
    <w:p w:rsidR="00C71D90" w:rsidRPr="00C71D90" w:rsidRDefault="00C71D90" w:rsidP="00C71D90">
      <w:pPr>
        <w:spacing w:before="100" w:beforeAutospacing="1" w:after="100" w:afterAutospacing="1" w:line="480" w:lineRule="auto"/>
        <w:rPr>
          <w:rFonts w:ascii="Times New Roman" w:hAnsi="Times New Roman" w:cs="Times New Roman"/>
          <w:sz w:val="24"/>
          <w:szCs w:val="24"/>
        </w:rPr>
      </w:pPr>
    </w:p>
    <w:p w:rsidR="008B78E9" w:rsidRPr="00C71D90" w:rsidRDefault="008B78E9" w:rsidP="00C71D90">
      <w:pPr>
        <w:spacing w:before="100" w:beforeAutospacing="1" w:after="100" w:afterAutospacing="1" w:line="480" w:lineRule="auto"/>
        <w:rPr>
          <w:rFonts w:ascii="Times New Roman" w:hAnsi="Times New Roman" w:cs="Times New Roman"/>
          <w:sz w:val="24"/>
          <w:szCs w:val="24"/>
        </w:rPr>
      </w:pPr>
    </w:p>
    <w:sectPr w:rsidR="008B78E9" w:rsidRPr="00C71D90" w:rsidSect="0081566B">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4E6" w:rsidRDefault="005314E6" w:rsidP="0081566B">
      <w:pPr>
        <w:spacing w:after="0" w:line="240" w:lineRule="auto"/>
      </w:pPr>
      <w:r>
        <w:separator/>
      </w:r>
    </w:p>
  </w:endnote>
  <w:endnote w:type="continuationSeparator" w:id="0">
    <w:p w:rsidR="005314E6" w:rsidRDefault="005314E6" w:rsidP="00815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4E6" w:rsidRDefault="005314E6" w:rsidP="0081566B">
      <w:pPr>
        <w:spacing w:after="0" w:line="240" w:lineRule="auto"/>
      </w:pPr>
      <w:r>
        <w:separator/>
      </w:r>
    </w:p>
  </w:footnote>
  <w:footnote w:type="continuationSeparator" w:id="0">
    <w:p w:rsidR="005314E6" w:rsidRDefault="005314E6" w:rsidP="008156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66B" w:rsidRPr="0081566B" w:rsidRDefault="0081566B" w:rsidP="0081566B">
    <w:pPr>
      <w:pStyle w:val="Header"/>
      <w:rPr>
        <w:rFonts w:ascii="Times New Roman" w:hAnsi="Times New Roman" w:cs="Times New Roman"/>
        <w:sz w:val="24"/>
        <w:szCs w:val="24"/>
      </w:rPr>
    </w:pPr>
    <w:r w:rsidRPr="0081566B">
      <w:rPr>
        <w:rFonts w:ascii="Times New Roman" w:hAnsi="Times New Roman" w:cs="Times New Roman"/>
        <w:color w:val="1B1B1B"/>
        <w:sz w:val="24"/>
        <w:szCs w:val="24"/>
        <w:shd w:val="clear" w:color="auto" w:fill="FFFFFF"/>
      </w:rPr>
      <w:t>TURNAROUND COURIERS INC. V. C.U.P.W</w:t>
    </w:r>
    <w:r>
      <w:rPr>
        <w:rFonts w:ascii="Times New Roman" w:hAnsi="Times New Roman" w:cs="Times New Roman"/>
        <w:color w:val="1B1B1B"/>
        <w:sz w:val="24"/>
        <w:szCs w:val="24"/>
        <w:shd w:val="clear" w:color="auto" w:fill="FFFFFF"/>
      </w:rPr>
      <w:tab/>
    </w:r>
    <w:sdt>
      <w:sdtPr>
        <w:id w:val="-817488965"/>
        <w:docPartObj>
          <w:docPartGallery w:val="Page Numbers (Top of Page)"/>
          <w:docPartUnique/>
        </w:docPartObj>
      </w:sdtPr>
      <w:sdtEndPr>
        <w:rPr>
          <w:rFonts w:ascii="Times New Roman" w:hAnsi="Times New Roman" w:cs="Times New Roman"/>
          <w:noProof/>
          <w:sz w:val="24"/>
          <w:szCs w:val="24"/>
        </w:rPr>
      </w:sdtEndPr>
      <w:sdtContent>
        <w:r w:rsidRPr="0081566B">
          <w:rPr>
            <w:rFonts w:ascii="Times New Roman" w:hAnsi="Times New Roman" w:cs="Times New Roman"/>
            <w:sz w:val="24"/>
            <w:szCs w:val="24"/>
          </w:rPr>
          <w:fldChar w:fldCharType="begin"/>
        </w:r>
        <w:r w:rsidRPr="0081566B">
          <w:rPr>
            <w:rFonts w:ascii="Times New Roman" w:hAnsi="Times New Roman" w:cs="Times New Roman"/>
            <w:sz w:val="24"/>
            <w:szCs w:val="24"/>
          </w:rPr>
          <w:instrText xml:space="preserve"> PAGE   \* MERGEFORMAT </w:instrText>
        </w:r>
        <w:r w:rsidRPr="0081566B">
          <w:rPr>
            <w:rFonts w:ascii="Times New Roman" w:hAnsi="Times New Roman" w:cs="Times New Roman"/>
            <w:sz w:val="24"/>
            <w:szCs w:val="24"/>
          </w:rPr>
          <w:fldChar w:fldCharType="separate"/>
        </w:r>
        <w:r>
          <w:rPr>
            <w:rFonts w:ascii="Times New Roman" w:hAnsi="Times New Roman" w:cs="Times New Roman"/>
            <w:noProof/>
            <w:sz w:val="24"/>
            <w:szCs w:val="24"/>
          </w:rPr>
          <w:t>7</w:t>
        </w:r>
        <w:r w:rsidRPr="0081566B">
          <w:rPr>
            <w:rFonts w:ascii="Times New Roman" w:hAnsi="Times New Roman" w:cs="Times New Roman"/>
            <w:noProof/>
            <w:sz w:val="24"/>
            <w:szCs w:val="24"/>
          </w:rPr>
          <w:fldChar w:fldCharType="end"/>
        </w:r>
      </w:sdtContent>
    </w:sdt>
  </w:p>
  <w:p w:rsidR="0081566B" w:rsidRPr="0081566B" w:rsidRDefault="0081566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66B" w:rsidRPr="0081566B" w:rsidRDefault="0081566B" w:rsidP="0081566B">
    <w:pPr>
      <w:pStyle w:val="Header"/>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RUNNING HEAD: </w:t>
    </w:r>
    <w:r w:rsidRPr="0081566B">
      <w:rPr>
        <w:rFonts w:ascii="Times New Roman" w:hAnsi="Times New Roman" w:cs="Times New Roman"/>
        <w:color w:val="1B1B1B"/>
        <w:sz w:val="24"/>
        <w:szCs w:val="24"/>
        <w:shd w:val="clear" w:color="auto" w:fill="FFFFFF"/>
      </w:rPr>
      <w:t>TURNAROUND COURIERS INC. V. C.U.P.W</w:t>
    </w:r>
    <w:r>
      <w:rPr>
        <w:rFonts w:ascii="Times New Roman" w:hAnsi="Times New Roman" w:cs="Times New Roman"/>
        <w:sz w:val="24"/>
        <w:szCs w:val="24"/>
      </w:rPr>
      <w:tab/>
    </w:r>
    <w:sdt>
      <w:sdtPr>
        <w:id w:val="-943077975"/>
        <w:docPartObj>
          <w:docPartGallery w:val="Page Numbers (Top of Page)"/>
          <w:docPartUnique/>
        </w:docPartObj>
      </w:sdtPr>
      <w:sdtEndPr>
        <w:rPr>
          <w:rFonts w:ascii="Times New Roman" w:hAnsi="Times New Roman" w:cs="Times New Roman"/>
          <w:noProof/>
          <w:sz w:val="24"/>
          <w:szCs w:val="24"/>
        </w:rPr>
      </w:sdtEndPr>
      <w:sdtContent>
        <w:r w:rsidRPr="0081566B">
          <w:rPr>
            <w:rFonts w:ascii="Times New Roman" w:hAnsi="Times New Roman" w:cs="Times New Roman"/>
            <w:sz w:val="24"/>
            <w:szCs w:val="24"/>
          </w:rPr>
          <w:fldChar w:fldCharType="begin"/>
        </w:r>
        <w:r w:rsidRPr="0081566B">
          <w:rPr>
            <w:rFonts w:ascii="Times New Roman" w:hAnsi="Times New Roman" w:cs="Times New Roman"/>
            <w:sz w:val="24"/>
            <w:szCs w:val="24"/>
          </w:rPr>
          <w:instrText xml:space="preserve"> PAGE   \* MERGEFORMAT </w:instrText>
        </w:r>
        <w:r w:rsidRPr="0081566B">
          <w:rPr>
            <w:rFonts w:ascii="Times New Roman" w:hAnsi="Times New Roman" w:cs="Times New Roman"/>
            <w:sz w:val="24"/>
            <w:szCs w:val="24"/>
          </w:rPr>
          <w:fldChar w:fldCharType="separate"/>
        </w:r>
        <w:r>
          <w:rPr>
            <w:rFonts w:ascii="Times New Roman" w:hAnsi="Times New Roman" w:cs="Times New Roman"/>
            <w:noProof/>
            <w:sz w:val="24"/>
            <w:szCs w:val="24"/>
          </w:rPr>
          <w:t>1</w:t>
        </w:r>
        <w:r w:rsidRPr="0081566B">
          <w:rPr>
            <w:rFonts w:ascii="Times New Roman" w:hAnsi="Times New Roman" w:cs="Times New Roman"/>
            <w:noProof/>
            <w:sz w:val="24"/>
            <w:szCs w:val="24"/>
          </w:rPr>
          <w:fldChar w:fldCharType="end"/>
        </w:r>
      </w:sdtContent>
    </w:sdt>
  </w:p>
  <w:p w:rsidR="0081566B" w:rsidRDefault="008156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8E9"/>
    <w:rsid w:val="00183776"/>
    <w:rsid w:val="002105AB"/>
    <w:rsid w:val="00264BC5"/>
    <w:rsid w:val="00396E40"/>
    <w:rsid w:val="00424714"/>
    <w:rsid w:val="005314E6"/>
    <w:rsid w:val="006E1AE0"/>
    <w:rsid w:val="00755586"/>
    <w:rsid w:val="0081566B"/>
    <w:rsid w:val="008B78E9"/>
    <w:rsid w:val="00A87375"/>
    <w:rsid w:val="00BA2563"/>
    <w:rsid w:val="00C71D90"/>
    <w:rsid w:val="00D16FF5"/>
    <w:rsid w:val="00D44E8B"/>
    <w:rsid w:val="00DC351B"/>
    <w:rsid w:val="00E170FA"/>
    <w:rsid w:val="00FF2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9CA1EF-4538-430B-9314-FF7381B2C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F2512"/>
    <w:rPr>
      <w:i/>
      <w:iCs/>
    </w:rPr>
  </w:style>
  <w:style w:type="character" w:styleId="Hyperlink">
    <w:name w:val="Hyperlink"/>
    <w:basedOn w:val="DefaultParagraphFont"/>
    <w:uiPriority w:val="99"/>
    <w:semiHidden/>
    <w:unhideWhenUsed/>
    <w:rsid w:val="00C71D90"/>
    <w:rPr>
      <w:color w:val="0000FF"/>
      <w:u w:val="single"/>
    </w:rPr>
  </w:style>
  <w:style w:type="paragraph" w:styleId="Header">
    <w:name w:val="header"/>
    <w:basedOn w:val="Normal"/>
    <w:link w:val="HeaderChar"/>
    <w:uiPriority w:val="99"/>
    <w:unhideWhenUsed/>
    <w:rsid w:val="00815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66B"/>
  </w:style>
  <w:style w:type="paragraph" w:styleId="Footer">
    <w:name w:val="footer"/>
    <w:basedOn w:val="Normal"/>
    <w:link w:val="FooterChar"/>
    <w:uiPriority w:val="99"/>
    <w:unhideWhenUsed/>
    <w:rsid w:val="00815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44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lii.org/en/ca/laws/stat/rsc-1985-c-l-2/latest/rsc-1985-c-l-2.html" TargetMode="External"/><Relationship Id="rId13" Type="http://schemas.openxmlformats.org/officeDocument/2006/relationships/hyperlink" Target="https://www.canlii.org/en/ca/laws/stat/30---31-vict-c-3/latest/30---31-vict-c-3.html"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canlii.org/en/ca/laws/stat/30---31-vict-c-3/latest/30---31-vict-c-3.html" TargetMode="External"/><Relationship Id="rId12" Type="http://schemas.openxmlformats.org/officeDocument/2006/relationships/hyperlink" Target="https://www.canlii.org/en/ca/laws/stat/30---31-vict-c-3/latest/30---31-vict-c-3.html" TargetMode="External"/><Relationship Id="rId17" Type="http://schemas.openxmlformats.org/officeDocument/2006/relationships/hyperlink" Target="https://www.canlii.org/en/ca/laws/stat/rsc-1985-c-c-10/latest/rsc-1985-c-c-10.html" TargetMode="External"/><Relationship Id="rId2" Type="http://schemas.openxmlformats.org/officeDocument/2006/relationships/settings" Target="settings.xml"/><Relationship Id="rId16" Type="http://schemas.openxmlformats.org/officeDocument/2006/relationships/hyperlink" Target="https://www.canlii.org/en/ca/laws/stat/30---31-vict-c-3/latest/30---31-vict-c-3.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canlii.org/en/ca/laws/stat/30---31-vict-c-3/latest/30---31-vict-c-3.html" TargetMode="External"/><Relationship Id="rId11" Type="http://schemas.openxmlformats.org/officeDocument/2006/relationships/hyperlink" Target="https://www.canlii.org/en/ca/laws/stat/rsc-1985-c-l-2/latest/rsc-1985-c-l-2.html" TargetMode="External"/><Relationship Id="rId5" Type="http://schemas.openxmlformats.org/officeDocument/2006/relationships/endnotes" Target="endnotes.xml"/><Relationship Id="rId15" Type="http://schemas.openxmlformats.org/officeDocument/2006/relationships/hyperlink" Target="https://www.canlii.org/en/ca/laws/stat/rsc-1985-c-l-2/latest/rsc-1985-c-l-2.html" TargetMode="External"/><Relationship Id="rId10" Type="http://schemas.openxmlformats.org/officeDocument/2006/relationships/hyperlink" Target="https://www.canlii.org/en/ca/laws/stat/rsc-1985-c-l-2/latest/rsc-1985-c-l-2.html"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canlii.org/en/ca/laws/stat/rsc-1985-c-l-2/latest/rsc-1985-c-l-2.html" TargetMode="External"/><Relationship Id="rId14" Type="http://schemas.openxmlformats.org/officeDocument/2006/relationships/hyperlink" Target="https://www.canlii.org/en/ca/laws/stat/rsc-1985-c-c-10/latest/rsc-1985-c-c-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7</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2018-10-02T16:25:00Z</dcterms:created>
  <dcterms:modified xsi:type="dcterms:W3CDTF">2018-10-02T20:30:00Z</dcterms:modified>
</cp:coreProperties>
</file>